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-5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3"/>
      </w:tblGrid>
      <w:tr w:rsidR="00FD1033" w:rsidRPr="00B91490" w:rsidTr="008C501D">
        <w:trPr>
          <w:trHeight w:val="1077"/>
        </w:trPr>
        <w:tc>
          <w:tcPr>
            <w:tcW w:w="5923" w:type="dxa"/>
            <w:shd w:val="clear" w:color="auto" w:fill="auto"/>
          </w:tcPr>
          <w:p w:rsidR="00FD1033" w:rsidRPr="00B91490" w:rsidRDefault="00FD1033" w:rsidP="00FD1033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 </w:t>
            </w: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CF3B3E" w:rsidRPr="00B91490">
              <w:rPr>
                <w:rFonts w:ascii="Times New Roman" w:hAnsi="Times New Roman" w:cs="Times New Roman"/>
                <w:sz w:val="26"/>
                <w:szCs w:val="26"/>
              </w:rPr>
              <w:t>Проекту Решения</w:t>
            </w: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депутатовУсть-Абаканского районаРеспублики Хакасия</w:t>
            </w:r>
          </w:p>
          <w:p w:rsidR="00CF3B3E" w:rsidRPr="00B91490" w:rsidRDefault="00CF3B3E" w:rsidP="00CF3B3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91490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 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FD1033" w:rsidRPr="00B91490" w:rsidRDefault="003C7091" w:rsidP="008C5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«19</w:t>
            </w:r>
            <w:r w:rsidR="00C3185D"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  <w:r w:rsidR="00C3185D"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 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37</w:t>
            </w: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D1033" w:rsidRPr="00B91490" w:rsidRDefault="00FD1033" w:rsidP="00FD1033">
      <w:pPr>
        <w:ind w:left="-284"/>
        <w:rPr>
          <w:sz w:val="18"/>
          <w:szCs w:val="18"/>
        </w:rPr>
      </w:pPr>
    </w:p>
    <w:p w:rsidR="00D0160C" w:rsidRPr="00B91490" w:rsidRDefault="00D0160C" w:rsidP="00FD1033">
      <w:pPr>
        <w:jc w:val="right"/>
      </w:pPr>
    </w:p>
    <w:p w:rsidR="00FD1033" w:rsidRPr="00B91490" w:rsidRDefault="00FD1033" w:rsidP="00FD1033">
      <w:pPr>
        <w:jc w:val="right"/>
      </w:pPr>
    </w:p>
    <w:p w:rsidR="00CF3B3E" w:rsidRPr="00B91490" w:rsidRDefault="00CF3B3E" w:rsidP="00FD1033">
      <w:pPr>
        <w:jc w:val="right"/>
      </w:pPr>
    </w:p>
    <w:p w:rsidR="00CF3B3E" w:rsidRPr="00B91490" w:rsidRDefault="00CF3B3E" w:rsidP="00FD1033">
      <w:pPr>
        <w:jc w:val="right"/>
      </w:pPr>
    </w:p>
    <w:p w:rsidR="00FD1033" w:rsidRDefault="00FD1033" w:rsidP="00FD1033">
      <w:pPr>
        <w:jc w:val="right"/>
      </w:pPr>
    </w:p>
    <w:p w:rsidR="00A0592E" w:rsidRDefault="00A0592E" w:rsidP="00A0592E">
      <w:pPr>
        <w:pStyle w:val="a4"/>
        <w:numPr>
          <w:ilvl w:val="0"/>
          <w:numId w:val="5"/>
        </w:num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  <w:r w:rsidRPr="00A0592E">
        <w:rPr>
          <w:rFonts w:ascii="Times New Roman" w:hAnsi="Times New Roman"/>
          <w:b/>
          <w:sz w:val="28"/>
          <w:szCs w:val="28"/>
        </w:rPr>
        <w:t>Сценарии социально-экономического развития Усть-Абаканского района до 2030 года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0592E" w:rsidRPr="00A0592E" w:rsidRDefault="00A0592E" w:rsidP="00A0592E">
      <w:pPr>
        <w:pStyle w:val="a4"/>
        <w:tabs>
          <w:tab w:val="left" w:pos="709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A0592E" w:rsidRPr="00A0592E" w:rsidRDefault="00A0592E" w:rsidP="00A0592E">
      <w:pPr>
        <w:pStyle w:val="a4"/>
        <w:spacing w:after="0"/>
        <w:ind w:left="0" w:firstLine="578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 xml:space="preserve">На основе проведенного анализа основных факторов, </w:t>
      </w:r>
      <w:r w:rsidRPr="00A0592E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 учетом перспектив долгосрочного развития, </w:t>
      </w:r>
      <w:r w:rsidRPr="00A0592E">
        <w:rPr>
          <w:rFonts w:ascii="Times New Roman" w:hAnsi="Times New Roman"/>
          <w:sz w:val="28"/>
          <w:szCs w:val="28"/>
        </w:rPr>
        <w:t>сформированы наиболее вероятные сценарии развития Усть-Абаканского района до 2030 года.</w:t>
      </w:r>
    </w:p>
    <w:p w:rsidR="00A0592E" w:rsidRPr="008C501D" w:rsidRDefault="00A0592E" w:rsidP="00A0592E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03DE0">
        <w:rPr>
          <w:rFonts w:ascii="Times New Roman" w:eastAsia="Times New Roman" w:hAnsi="Times New Roman" w:cs="Times New Roman"/>
          <w:sz w:val="26"/>
          <w:szCs w:val="26"/>
        </w:rPr>
        <w:t>Предполагается, что в долгосрочной перспективе продолжится реализация приоритетных целей и задач, утвержденных в указах Президента Российской Федерации от 07.05.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2012 </w:t>
      </w:r>
      <w:hyperlink r:id="rId5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596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 долгосрочной государственной экономической политике", от 07.05.2012 </w:t>
      </w:r>
      <w:hyperlink r:id="rId6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597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 мероприятиях по реализации государственной социальной политики", от 07.05.2012 </w:t>
      </w:r>
      <w:hyperlink r:id="rId7" w:history="1">
        <w:r w:rsidR="00F9075E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</w:t>
        </w:r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598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 совершенствовании государственной политики в сфере здравоохранения", от 07.05.2012 </w:t>
      </w:r>
      <w:hyperlink r:id="rId8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599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 мерах по реализации государственной политики в области образования</w:t>
      </w:r>
      <w:proofErr w:type="gramEnd"/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и науки", от 07.05.2012 </w:t>
      </w:r>
      <w:hyperlink r:id="rId9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600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 мерах по обеспечению граждан Российской Федерации доступным и комфортным жильем и повышению качества жилищно-коммунальных услуг", от 07.05.2012 </w:t>
      </w:r>
      <w:hyperlink r:id="rId10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601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"Об основных направлениях совершенствования системы государственного управления", от 07.05.2012 </w:t>
      </w:r>
      <w:hyperlink r:id="rId11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606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 мерах по реализации демографической политики Российской Федерации", от 07.05.2018 </w:t>
      </w:r>
      <w:hyperlink r:id="rId12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204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 национальных целях и стратегических задачах развития Российской Федерации на период</w:t>
      </w:r>
      <w:proofErr w:type="gramEnd"/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до 2024 года" (далее - Указ N 204), от 21.07.2020 </w:t>
      </w:r>
      <w:hyperlink r:id="rId13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474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"О национальных целях развития Российской Федерации на период до 2030 года" (далее - Указ N 474), а также стратегических целей, обозначенных в документах стратегического планирования района на долгосрочную перспективу, предполагающих повышение уровня жизни на основе стабилизации и роста производства основных отраслей экономики, максимально возможной занятости, улучшение инвестиционного климата, повышение конкурентоспособности и эффективности бизнеса, обеспечение нормального функционирования отраслей социальной сферы. </w:t>
      </w:r>
    </w:p>
    <w:p w:rsidR="00A0592E" w:rsidRPr="008C501D" w:rsidRDefault="00A0592E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Ключевыми внешними факторами, способными повлиять на развитие района, являются: </w:t>
      </w:r>
    </w:p>
    <w:p w:rsidR="00A0592E" w:rsidRPr="008C501D" w:rsidRDefault="00A0592E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неблагоприятная конъюнктура мировых рынков сырья, так как </w:t>
      </w:r>
      <w:r w:rsidR="00B74618" w:rsidRPr="008C501D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>основу промышленного производства Усть-Абаканского района</w:t>
      </w:r>
      <w:r w:rsidR="00B74618" w:rsidRPr="008C501D">
        <w:rPr>
          <w:rFonts w:ascii="Times New Roman" w:eastAsia="Times New Roman" w:hAnsi="Times New Roman" w:cs="Times New Roman"/>
          <w:sz w:val="26"/>
          <w:szCs w:val="26"/>
        </w:rPr>
        <w:t>входят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организации, добывающие полезные ископаемые (уголь, золото</w:t>
      </w:r>
      <w:r w:rsidR="00901213" w:rsidRPr="008C501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01213" w:rsidRPr="008C501D">
        <w:rPr>
          <w:rFonts w:ascii="Times New Roman" w:hAnsi="Times New Roman"/>
          <w:sz w:val="28"/>
          <w:szCs w:val="28"/>
        </w:rPr>
        <w:t>строительные нерудные материалы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A0592E" w:rsidRPr="008C501D" w:rsidRDefault="00A0592E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введение иностранными государствами жестких санкционных ограничений в отношении Российской Федерации, а также значительное удорожание импортных комплектующих и расходных материалов, используемых российскими компаниями для производства продукции. </w:t>
      </w:r>
    </w:p>
    <w:p w:rsidR="00A0592E" w:rsidRPr="008C501D" w:rsidRDefault="00E2217C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>В</w:t>
      </w:r>
      <w:r w:rsidR="00A0592E" w:rsidRPr="008C501D">
        <w:rPr>
          <w:rFonts w:ascii="Times New Roman" w:eastAsia="Times New Roman" w:hAnsi="Times New Roman" w:cs="Times New Roman"/>
          <w:sz w:val="26"/>
          <w:szCs w:val="26"/>
        </w:rPr>
        <w:t xml:space="preserve"> среднесрочной перспективе предполагается преодоление негативных тенденций в социально-экономическом развитии </w:t>
      </w:r>
      <w:r w:rsidR="00901213" w:rsidRPr="008C501D">
        <w:rPr>
          <w:rFonts w:ascii="Times New Roman" w:eastAsia="Times New Roman" w:hAnsi="Times New Roman" w:cs="Times New Roman"/>
          <w:sz w:val="26"/>
          <w:szCs w:val="26"/>
        </w:rPr>
        <w:t>района,</w:t>
      </w:r>
      <w:r w:rsidR="00A0592E" w:rsidRPr="008C501D">
        <w:rPr>
          <w:rFonts w:ascii="Times New Roman" w:eastAsia="Times New Roman" w:hAnsi="Times New Roman" w:cs="Times New Roman"/>
          <w:sz w:val="26"/>
          <w:szCs w:val="26"/>
        </w:rPr>
        <w:t xml:space="preserve"> вызванных распространением новой коронавирусной инфекции (COVID-19), и постепенное сглаживание последствий от ограничений в связи с распространением новой коронавирусной инфекции (COVID-19). </w:t>
      </w:r>
    </w:p>
    <w:p w:rsidR="00A0592E" w:rsidRPr="008C501D" w:rsidRDefault="00A0592E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Внутренние факторы развития, такие как демографические процессы, состояние рынка труда, эффективность привлечения инвестиционных ресурсов, развитие малого и среднего бизнеса, развитие производственной и транспортной инфраструктуры, обновление основных фондов, окажут влияние на динамику социально-экономического развития </w:t>
      </w:r>
      <w:r w:rsidR="00901213" w:rsidRPr="008C501D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в долгосрочной перспективе. </w:t>
      </w:r>
    </w:p>
    <w:p w:rsidR="00A0592E" w:rsidRPr="008C501D" w:rsidRDefault="00A0592E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>Реализация Стратегии</w:t>
      </w:r>
      <w:r w:rsidR="008C501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исходя из имеющихся конкурентных преимуществ</w:t>
      </w:r>
      <w:r w:rsidR="008C501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предполагает три основных сценария: консервативный, базовый и целевой. </w:t>
      </w:r>
    </w:p>
    <w:p w:rsidR="00566C46" w:rsidRPr="008C501D" w:rsidRDefault="00566C46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1213" w:rsidRPr="008C501D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b/>
          <w:bCs/>
          <w:sz w:val="26"/>
          <w:szCs w:val="26"/>
        </w:rPr>
        <w:t>Консервативный сценарий</w:t>
      </w:r>
    </w:p>
    <w:p w:rsidR="00901213" w:rsidRPr="008C501D" w:rsidRDefault="00901213" w:rsidP="009012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</w:p>
    <w:p w:rsidR="00901213" w:rsidRPr="008C501D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Социально-экономическое развитие в рамках консервативного сценария основано на предпосылке о более затяжном восстановлении экономики, структурном замедлении темпов ее роста, во-первых, из-за последствий распространения новой коронавирусной инфекции, во-вторых, в результате беспрецедентного воздействия санкций США и стран, поддерживающих их. </w:t>
      </w:r>
    </w:p>
    <w:p w:rsidR="00901213" w:rsidRPr="008C501D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>Прогнозируется, что по консервативному варианту развития перестройка производственно-логистических цепочек будет происходить медленно, что повлечет за собой боле</w:t>
      </w:r>
      <w:r w:rsidR="00566C46" w:rsidRPr="008C501D">
        <w:rPr>
          <w:rFonts w:ascii="Times New Roman" w:eastAsia="Times New Roman" w:hAnsi="Times New Roman" w:cs="Times New Roman"/>
          <w:sz w:val="26"/>
          <w:szCs w:val="26"/>
        </w:rPr>
        <w:t>е глубокий спад экономики в 202</w:t>
      </w:r>
      <w:r w:rsidR="00053C1D" w:rsidRPr="008C501D">
        <w:rPr>
          <w:rFonts w:ascii="Times New Roman" w:eastAsia="Times New Roman" w:hAnsi="Times New Roman" w:cs="Times New Roman"/>
          <w:sz w:val="26"/>
          <w:szCs w:val="26"/>
        </w:rPr>
        <w:t>4</w:t>
      </w:r>
      <w:r w:rsidR="00566C46" w:rsidRPr="008C501D">
        <w:rPr>
          <w:rFonts w:ascii="Times New Roman" w:eastAsia="Times New Roman" w:hAnsi="Times New Roman" w:cs="Times New Roman"/>
          <w:sz w:val="26"/>
          <w:szCs w:val="26"/>
        </w:rPr>
        <w:t xml:space="preserve"> - 202</w:t>
      </w:r>
      <w:r w:rsidR="00053C1D" w:rsidRPr="008C501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годах. </w:t>
      </w:r>
    </w:p>
    <w:p w:rsidR="00901213" w:rsidRPr="008C501D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>Кроме того, консервативный сценарий развития предполагает, что реализация наиболее финансово затратных проектов будет откладываться на более поздний срок. Бюджетная политика р</w:t>
      </w:r>
      <w:r w:rsidR="008D49DB" w:rsidRPr="008C501D">
        <w:rPr>
          <w:rFonts w:ascii="Times New Roman" w:eastAsia="Times New Roman" w:hAnsi="Times New Roman" w:cs="Times New Roman"/>
          <w:sz w:val="26"/>
          <w:szCs w:val="26"/>
        </w:rPr>
        <w:t>айона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будет носить сдержанный характер - ресурсные ограничения не преодолеваются, планируется только реализация социальных обязательств и региональных составляющих национальных проектов страны. </w:t>
      </w:r>
    </w:p>
    <w:p w:rsidR="001C0A8B" w:rsidRPr="008C501D" w:rsidRDefault="001C0A8B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>Источники финансирования, на которые следует рассчитывать при реализации консервативного сценария, ограничиваются в основном дотациями из республиканского бюджета и финансированием за счет целевых региональных и федеральных программ.</w:t>
      </w:r>
    </w:p>
    <w:p w:rsidR="0098563A" w:rsidRPr="008C501D" w:rsidRDefault="0098563A" w:rsidP="0098563A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01D">
        <w:rPr>
          <w:rFonts w:ascii="Times New Roman" w:eastAsia="Times New Roman" w:hAnsi="Times New Roman" w:cs="Times New Roman"/>
          <w:sz w:val="26"/>
          <w:szCs w:val="26"/>
        </w:rPr>
        <w:t>Из-за дефицита рабочих мест усилится маятниковая миграция трудоспособного населения, отток молодежи, что усложнит демографическую ситуацию в районе.</w:t>
      </w:r>
    </w:p>
    <w:p w:rsidR="0098563A" w:rsidRPr="00D03DE0" w:rsidRDefault="0098563A" w:rsidP="0098563A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8563A">
        <w:rPr>
          <w:rFonts w:ascii="Times New Roman" w:eastAsia="Times New Roman" w:hAnsi="Times New Roman" w:cs="Times New Roman"/>
          <w:sz w:val="26"/>
          <w:szCs w:val="26"/>
        </w:rPr>
        <w:lastRenderedPageBreak/>
        <w:t>Вышеизложенный сценарий не решает многие проблемы района, при котором основная задачи власти – сохранить положительные тенденции развития экономики.</w:t>
      </w:r>
    </w:p>
    <w:p w:rsidR="008D49DB" w:rsidRDefault="008D49DB" w:rsidP="009012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1213" w:rsidRPr="00D03DE0" w:rsidRDefault="00901213" w:rsidP="008C501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="008C501D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D03DE0">
        <w:rPr>
          <w:rFonts w:ascii="Times New Roman" w:eastAsia="Times New Roman" w:hAnsi="Times New Roman" w:cs="Times New Roman"/>
          <w:b/>
          <w:bCs/>
          <w:sz w:val="26"/>
          <w:szCs w:val="26"/>
        </w:rPr>
        <w:t>Базовый сценарий</w:t>
      </w:r>
    </w:p>
    <w:p w:rsidR="00901213" w:rsidRPr="00D03DE0" w:rsidRDefault="00901213" w:rsidP="009012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</w:p>
    <w:p w:rsidR="00901213" w:rsidRPr="00D03DE0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Развитие 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Усть-Абак</w:t>
      </w:r>
      <w:r w:rsidR="001752B7">
        <w:rPr>
          <w:rFonts w:ascii="Times New Roman" w:eastAsia="Times New Roman" w:hAnsi="Times New Roman" w:cs="Times New Roman"/>
          <w:sz w:val="26"/>
          <w:szCs w:val="26"/>
        </w:rPr>
        <w:t>а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н</w:t>
      </w:r>
      <w:r w:rsidR="001752B7">
        <w:rPr>
          <w:rFonts w:ascii="Times New Roman" w:eastAsia="Times New Roman" w:hAnsi="Times New Roman" w:cs="Times New Roman"/>
          <w:sz w:val="26"/>
          <w:szCs w:val="26"/>
        </w:rPr>
        <w:t>с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кого района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 по базовому сценарию предполагает в среднесрочной перспективе поиск новых рынков сбыта продукции, что в долгосрочной перспективе выразится в умеренных темпах экономического роста во всех секторах экономики при неухудшении внешних условий и постепенной адаптации к ним предприятий р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айона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01213" w:rsidRPr="00D03DE0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При этом приоритетной задачей долгосрочного развития 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 является создание благоприятных условий для осуществления деятельности хозяйствующих субъектов р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айона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>, улучшени</w:t>
      </w:r>
      <w:r w:rsidR="00F025F8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 предпринимательского и инвестиционного климата, создание конкурентоспособной экономики в условиях внешнего санкционного давления. </w:t>
      </w:r>
    </w:p>
    <w:p w:rsidR="00901213" w:rsidRPr="00D03DE0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В рамках данного сценария предполагается постепенная адаптация к новым условиям функционирования экономики и переход к восстановительному росту за счет более динамичной перестройки производственно-логистических цепочек. </w:t>
      </w:r>
    </w:p>
    <w:p w:rsidR="001B07C5" w:rsidRPr="001B07C5" w:rsidRDefault="00901213" w:rsidP="001B07C5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>Восстановление экономического роста, положительные изменения в экономике будут сопровождаться реализацией большинства приоритетных (долгосрочных) проектов и программных документов, повышением эффективности и конкурентоспособности производств за счет внедрения современных технологий и обновления основных фондов, расширением процессов импортозамещения, улучшением в социальной сфере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B07C5" w:rsidRPr="00FD742D">
        <w:rPr>
          <w:rFonts w:ascii="Times New Roman" w:eastAsia="Times New Roman" w:hAnsi="Times New Roman" w:cs="Times New Roman"/>
          <w:sz w:val="26"/>
          <w:szCs w:val="26"/>
        </w:rPr>
        <w:t>создани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ем</w:t>
      </w:r>
      <w:r w:rsidR="001B07C5" w:rsidRPr="00FD742D">
        <w:rPr>
          <w:rFonts w:ascii="Times New Roman" w:eastAsia="Times New Roman" w:hAnsi="Times New Roman" w:cs="Times New Roman"/>
          <w:sz w:val="26"/>
          <w:szCs w:val="26"/>
        </w:rPr>
        <w:t xml:space="preserve"> новых рабочих мест, строительство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B07C5" w:rsidRPr="00FD742D">
        <w:rPr>
          <w:rFonts w:ascii="Times New Roman" w:eastAsia="Times New Roman" w:hAnsi="Times New Roman" w:cs="Times New Roman"/>
          <w:sz w:val="26"/>
          <w:szCs w:val="26"/>
        </w:rPr>
        <w:t xml:space="preserve"> новых сельскохозяйственных предприятий/кооперативов с замкнутым циклом переработки продукции, </w:t>
      </w:r>
      <w:r w:rsidR="001B07C5" w:rsidRPr="001B07C5">
        <w:rPr>
          <w:rFonts w:ascii="Times New Roman" w:eastAsia="Times New Roman" w:hAnsi="Times New Roman" w:cs="Times New Roman"/>
          <w:sz w:val="26"/>
          <w:szCs w:val="26"/>
        </w:rPr>
        <w:t>увеличение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B07C5" w:rsidRPr="001B07C5">
        <w:rPr>
          <w:rFonts w:ascii="Times New Roman" w:eastAsia="Times New Roman" w:hAnsi="Times New Roman" w:cs="Times New Roman"/>
          <w:sz w:val="26"/>
          <w:szCs w:val="26"/>
        </w:rPr>
        <w:t xml:space="preserve"> доли обрабатывающих производств, развитие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B07C5" w:rsidRPr="001B07C5">
        <w:rPr>
          <w:rFonts w:ascii="Times New Roman" w:eastAsia="Times New Roman" w:hAnsi="Times New Roman" w:cs="Times New Roman"/>
          <w:sz w:val="26"/>
          <w:szCs w:val="26"/>
        </w:rPr>
        <w:t xml:space="preserve"> строительн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1B07C5" w:rsidRPr="001B07C5">
        <w:rPr>
          <w:rFonts w:ascii="Times New Roman" w:eastAsia="Times New Roman" w:hAnsi="Times New Roman" w:cs="Times New Roman"/>
          <w:sz w:val="26"/>
          <w:szCs w:val="26"/>
        </w:rPr>
        <w:t xml:space="preserve"> комплекс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а</w:t>
      </w:r>
      <w:r w:rsidR="001B07C5" w:rsidRPr="001B07C5">
        <w:rPr>
          <w:rFonts w:ascii="Times New Roman" w:eastAsia="Times New Roman" w:hAnsi="Times New Roman" w:cs="Times New Roman"/>
          <w:sz w:val="26"/>
          <w:szCs w:val="26"/>
        </w:rPr>
        <w:t xml:space="preserve"> за счет роста объемов жилищного строительства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,</w:t>
      </w:r>
      <w:r w:rsidR="001B07C5" w:rsidRPr="00FD742D">
        <w:rPr>
          <w:rFonts w:ascii="Times New Roman" w:eastAsia="Times New Roman" w:hAnsi="Times New Roman" w:cs="Times New Roman"/>
          <w:sz w:val="26"/>
          <w:szCs w:val="26"/>
        </w:rPr>
        <w:t>развитие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B07C5" w:rsidRPr="00FD742D">
        <w:rPr>
          <w:rFonts w:ascii="Times New Roman" w:eastAsia="Times New Roman" w:hAnsi="Times New Roman" w:cs="Times New Roman"/>
          <w:sz w:val="26"/>
          <w:szCs w:val="26"/>
        </w:rPr>
        <w:t xml:space="preserve"> сельского уклада жизни на новой качественной основе</w:t>
      </w:r>
      <w:r w:rsidR="001B07C5" w:rsidRPr="001B07C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E272C" w:rsidRPr="00D03DE0" w:rsidRDefault="003E272C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37BD">
        <w:rPr>
          <w:rFonts w:ascii="Times New Roman" w:eastAsia="Times New Roman" w:hAnsi="Times New Roman" w:cs="Times New Roman"/>
          <w:sz w:val="26"/>
          <w:szCs w:val="26"/>
        </w:rPr>
        <w:t>Данный сценарий развития был взят за основу разработки среднесрочного прогноза социально-экономического развития Усть-Абаканского района.</w:t>
      </w:r>
    </w:p>
    <w:p w:rsidR="001B07C5" w:rsidRDefault="00901213" w:rsidP="001B07C5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1B07C5" w:rsidRPr="001B07C5">
        <w:rPr>
          <w:rFonts w:ascii="Times New Roman" w:eastAsia="Times New Roman" w:hAnsi="Times New Roman" w:cs="Times New Roman"/>
          <w:sz w:val="26"/>
          <w:szCs w:val="26"/>
        </w:rPr>
        <w:t>В целом базовый сценарий развития предполагает достижение показателей, определенных комплексной и муниципальными программами</w:t>
      </w:r>
      <w:r w:rsidR="001B07C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01213" w:rsidRPr="00D03DE0" w:rsidRDefault="00901213" w:rsidP="009012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1213" w:rsidRPr="00D03DE0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b/>
          <w:bCs/>
          <w:sz w:val="26"/>
          <w:szCs w:val="26"/>
        </w:rPr>
        <w:t>Целевой сценарий</w:t>
      </w:r>
    </w:p>
    <w:p w:rsidR="00901213" w:rsidRPr="00D03DE0" w:rsidRDefault="00901213" w:rsidP="009012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</w:p>
    <w:p w:rsidR="00901213" w:rsidRPr="00D03DE0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В рамках реализации целевого сценария подразумевается, что развитие 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района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 будет проходить на фоне ожиданий позитивных изменений внешнеэкономических и внешнеполитических условий, а также эффективной структурной перестройки производственно-логистических цепочек в экономике</w:t>
      </w:r>
      <w:r w:rsidR="00FC450B">
        <w:rPr>
          <w:rFonts w:ascii="Times New Roman" w:eastAsia="Times New Roman" w:hAnsi="Times New Roman" w:cs="Times New Roman"/>
          <w:sz w:val="26"/>
          <w:szCs w:val="26"/>
        </w:rPr>
        <w:t xml:space="preserve"> страны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4B3F01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lastRenderedPageBreak/>
        <w:t>В целевом сценарии предполагается, что инвестиции в основной капитал будут демонстрировать восстановительный рост, в который значимый вклад должна внести реа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лизация инвестиционных проектов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01213" w:rsidRPr="00D03DE0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>Основу экономического развития р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айона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 на долгосрочную перспективу будут составлять не только традиционные отрасли промышленного производства, но и отрасли перспективной экономической специализации, обозначенные 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hyperlink r:id="rId14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Стратегии</w:t>
        </w:r>
      </w:hyperlink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 пространственного развития Российской Федерации на период до 2025 года (распоряжение Правительства Российской Федерации от 13.02.2019 N 207-р). </w:t>
      </w:r>
    </w:p>
    <w:p w:rsidR="008D49DB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>Активное взаимодействие органов власти и бизнеса, направленное на поэтапный переход р</w:t>
      </w:r>
      <w:r w:rsidR="008D49DB">
        <w:rPr>
          <w:rFonts w:ascii="Times New Roman" w:eastAsia="Times New Roman" w:hAnsi="Times New Roman" w:cs="Times New Roman"/>
          <w:sz w:val="26"/>
          <w:szCs w:val="26"/>
        </w:rPr>
        <w:t>айона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 на новую сбалансированную модель развития, будет способствовать значительному улучшению качества человеческого потенциала и социального пространства, углублению структурной модернизации "современной экономики". </w:t>
      </w:r>
    </w:p>
    <w:p w:rsidR="00901213" w:rsidRPr="008C501D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Целевой сценарий позволит не только реализовывать задачи, обозначенные в </w:t>
      </w:r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Указах </w:t>
      </w:r>
      <w:hyperlink r:id="rId15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204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hyperlink r:id="rId16" w:history="1">
        <w:r w:rsidRPr="008C501D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N 474</w:t>
        </w:r>
      </w:hyperlink>
      <w:r w:rsidRPr="008C501D">
        <w:rPr>
          <w:rFonts w:ascii="Times New Roman" w:eastAsia="Times New Roman" w:hAnsi="Times New Roman" w:cs="Times New Roman"/>
          <w:sz w:val="26"/>
          <w:szCs w:val="26"/>
        </w:rPr>
        <w:t xml:space="preserve">, но и обеспечит рост экономики и, как следствие, уровень и качество жизни населения. </w:t>
      </w:r>
    </w:p>
    <w:p w:rsidR="00901213" w:rsidRPr="00D03DE0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>Необходимо отметить, что в результате введения с марта 2022 года иностранными государствами жестких санкционных ограничений и с учетом сжатых бюджетных возможностей, а также откладыванием компаниями реализации инвестиционных проектов на более поздний срок, на втором этап</w:t>
      </w:r>
      <w:r w:rsidR="004B3F01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 реализации Стратегии возможна реализация консервативного сценария развития. </w:t>
      </w:r>
    </w:p>
    <w:p w:rsidR="00901213" w:rsidRPr="00D03DE0" w:rsidRDefault="00901213" w:rsidP="00901213">
      <w:pPr>
        <w:spacing w:after="0"/>
        <w:ind w:firstLine="48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DE0">
        <w:rPr>
          <w:rFonts w:ascii="Times New Roman" w:eastAsia="Times New Roman" w:hAnsi="Times New Roman" w:cs="Times New Roman"/>
          <w:sz w:val="26"/>
          <w:szCs w:val="26"/>
        </w:rPr>
        <w:t xml:space="preserve">В случае полномасштабной реализации инвестиционных проектов с 2025 года возможен переход на целевой сценарий в конце второго этапа реализации Стратегии. </w:t>
      </w:r>
    </w:p>
    <w:p w:rsidR="00901213" w:rsidRPr="00901213" w:rsidRDefault="00901213" w:rsidP="00901213">
      <w:pPr>
        <w:spacing w:after="0"/>
        <w:rPr>
          <w:sz w:val="26"/>
          <w:szCs w:val="26"/>
        </w:rPr>
      </w:pPr>
    </w:p>
    <w:p w:rsidR="00A0592E" w:rsidRPr="00A0592E" w:rsidRDefault="00A0592E" w:rsidP="00A0592E">
      <w:pPr>
        <w:spacing w:after="0"/>
        <w:ind w:firstLine="578"/>
        <w:jc w:val="center"/>
        <w:rPr>
          <w:rFonts w:ascii="Times New Roman" w:hAnsi="Times New Roman" w:cs="Times New Roman"/>
          <w:sz w:val="26"/>
          <w:szCs w:val="26"/>
        </w:rPr>
      </w:pPr>
    </w:p>
    <w:sectPr w:rsidR="00A0592E" w:rsidRPr="00A0592E" w:rsidSect="0090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9D0"/>
    <w:multiLevelType w:val="hybridMultilevel"/>
    <w:tmpl w:val="741E1F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225D5"/>
    <w:multiLevelType w:val="hybridMultilevel"/>
    <w:tmpl w:val="FA90266C"/>
    <w:lvl w:ilvl="0" w:tplc="F43EB1F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CBC0DAD"/>
    <w:multiLevelType w:val="multilevel"/>
    <w:tmpl w:val="AEFA496E"/>
    <w:lvl w:ilvl="0">
      <w:start w:val="1"/>
      <w:numFmt w:val="decimal"/>
      <w:lvlText w:val="%1."/>
      <w:lvlJc w:val="left"/>
      <w:pPr>
        <w:ind w:left="432" w:hanging="432"/>
      </w:pPr>
      <w:rPr>
        <w:rFonts w:asciiTheme="majorHAnsi" w:hAnsiTheme="majorHAnsi" w:cstheme="majorBidi"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asciiTheme="majorHAnsi" w:hAnsiTheme="majorHAnsi" w:cstheme="majorBidi" w:hint="default"/>
      </w:rPr>
    </w:lvl>
  </w:abstractNum>
  <w:abstractNum w:abstractNumId="3">
    <w:nsid w:val="73B83155"/>
    <w:multiLevelType w:val="hybridMultilevel"/>
    <w:tmpl w:val="864A430E"/>
    <w:lvl w:ilvl="0" w:tplc="075A501A">
      <w:start w:val="44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7B984EFB"/>
    <w:multiLevelType w:val="hybridMultilevel"/>
    <w:tmpl w:val="814A5FD4"/>
    <w:lvl w:ilvl="0" w:tplc="57C20142">
      <w:start w:val="44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1033"/>
    <w:rsid w:val="000072E6"/>
    <w:rsid w:val="000443C1"/>
    <w:rsid w:val="00053C1D"/>
    <w:rsid w:val="000C67B8"/>
    <w:rsid w:val="000F21D5"/>
    <w:rsid w:val="001752B7"/>
    <w:rsid w:val="001B07C5"/>
    <w:rsid w:val="001C0A8B"/>
    <w:rsid w:val="001C15D6"/>
    <w:rsid w:val="001F6E08"/>
    <w:rsid w:val="002554CE"/>
    <w:rsid w:val="002D6CDE"/>
    <w:rsid w:val="003559A1"/>
    <w:rsid w:val="003C7091"/>
    <w:rsid w:val="003E272C"/>
    <w:rsid w:val="003E751B"/>
    <w:rsid w:val="00405B20"/>
    <w:rsid w:val="0048370B"/>
    <w:rsid w:val="004B3F01"/>
    <w:rsid w:val="00547AB8"/>
    <w:rsid w:val="00566C46"/>
    <w:rsid w:val="00566D06"/>
    <w:rsid w:val="00573F0A"/>
    <w:rsid w:val="005A37BD"/>
    <w:rsid w:val="00631BF5"/>
    <w:rsid w:val="0067040D"/>
    <w:rsid w:val="007411C7"/>
    <w:rsid w:val="00796572"/>
    <w:rsid w:val="00815541"/>
    <w:rsid w:val="00840B0E"/>
    <w:rsid w:val="00883798"/>
    <w:rsid w:val="008C501D"/>
    <w:rsid w:val="008D49DB"/>
    <w:rsid w:val="008E58F2"/>
    <w:rsid w:val="008F17FB"/>
    <w:rsid w:val="00901213"/>
    <w:rsid w:val="00941DD5"/>
    <w:rsid w:val="0096022A"/>
    <w:rsid w:val="0098563A"/>
    <w:rsid w:val="009A6E45"/>
    <w:rsid w:val="00A0592E"/>
    <w:rsid w:val="00A34B75"/>
    <w:rsid w:val="00B74618"/>
    <w:rsid w:val="00B81437"/>
    <w:rsid w:val="00B84FC5"/>
    <w:rsid w:val="00B91490"/>
    <w:rsid w:val="00BE2BBE"/>
    <w:rsid w:val="00C078C5"/>
    <w:rsid w:val="00C3185D"/>
    <w:rsid w:val="00C855D5"/>
    <w:rsid w:val="00CF3B3E"/>
    <w:rsid w:val="00D0160C"/>
    <w:rsid w:val="00D05943"/>
    <w:rsid w:val="00D06D68"/>
    <w:rsid w:val="00D53C0D"/>
    <w:rsid w:val="00DE70F8"/>
    <w:rsid w:val="00E10E56"/>
    <w:rsid w:val="00E16AB1"/>
    <w:rsid w:val="00E21453"/>
    <w:rsid w:val="00E2217C"/>
    <w:rsid w:val="00E31EAA"/>
    <w:rsid w:val="00E32A8C"/>
    <w:rsid w:val="00EB4909"/>
    <w:rsid w:val="00EE6F7C"/>
    <w:rsid w:val="00F025F8"/>
    <w:rsid w:val="00F36ED8"/>
    <w:rsid w:val="00F9075E"/>
    <w:rsid w:val="00FC450B"/>
    <w:rsid w:val="00FD1033"/>
    <w:rsid w:val="00FD7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033"/>
    <w:pPr>
      <w:spacing w:after="120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FD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9346&amp;date=12.05.2023" TargetMode="External"/><Relationship Id="rId13" Type="http://schemas.openxmlformats.org/officeDocument/2006/relationships/hyperlink" Target="https://login.consultant.ru/link/?req=doc&amp;base=LAW&amp;n=357927&amp;date=12.05.202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29345&amp;date=12.05.2023" TargetMode="External"/><Relationship Id="rId12" Type="http://schemas.openxmlformats.org/officeDocument/2006/relationships/hyperlink" Target="https://login.consultant.ru/link/?req=doc&amp;base=LAW&amp;n=358026&amp;date=12.05.202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57927&amp;date=12.05.20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129344&amp;date=12.05.2023" TargetMode="External"/><Relationship Id="rId11" Type="http://schemas.openxmlformats.org/officeDocument/2006/relationships/hyperlink" Target="https://login.consultant.ru/link/?req=doc&amp;base=LAW&amp;n=437463&amp;date=12.05.2023" TargetMode="External"/><Relationship Id="rId5" Type="http://schemas.openxmlformats.org/officeDocument/2006/relationships/hyperlink" Target="https://login.consultant.ru/link/?req=doc&amp;base=LAW&amp;n=129343&amp;date=12.05.2023" TargetMode="External"/><Relationship Id="rId15" Type="http://schemas.openxmlformats.org/officeDocument/2006/relationships/hyperlink" Target="https://login.consultant.ru/link/?req=doc&amp;base=LAW&amp;n=358026&amp;date=12.05.2023" TargetMode="External"/><Relationship Id="rId10" Type="http://schemas.openxmlformats.org/officeDocument/2006/relationships/hyperlink" Target="https://login.consultant.ru/link/?req=doc&amp;base=LAW&amp;n=129336&amp;date=12.05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29335&amp;date=12.05.2023" TargetMode="External"/><Relationship Id="rId14" Type="http://schemas.openxmlformats.org/officeDocument/2006/relationships/hyperlink" Target="https://login.consultant.ru/link/?req=doc&amp;base=LAW&amp;n=428211&amp;dst=100009&amp;field=134&amp;date=12.05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dcterms:created xsi:type="dcterms:W3CDTF">2022-03-24T07:02:00Z</dcterms:created>
  <dcterms:modified xsi:type="dcterms:W3CDTF">2023-06-21T01:56:00Z</dcterms:modified>
</cp:coreProperties>
</file>